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rFonts w:ascii="Calibri" w:cs="Calibri" w:eastAsia="Calibri" w:hAnsi="Calibri"/>
          <w:b/>
          <w:bCs/>
          <w:color w:val="9A6D2E"/>
          <w:spacing w:val="30"/>
          <w:sz w:val="17"/>
          <w:szCs w:val="17"/>
        </w:rPr>
        <w:t xml:space="preserve">MODELO EDITÁVEL · CONSULTORIA TRIBUTÁRIA</w:t>
      </w:r>
    </w:p>
    <w:p>
      <w:pPr>
        <w:spacing w:after="140"/>
      </w:pPr>
      <w:r>
        <w:rPr>
          <w:rFonts w:ascii="Cambria" w:cs="Cambria" w:eastAsia="Cambria" w:hAnsi="Cambria"/>
          <w:b/>
          <w:bCs/>
          <w:color w:val="3A0823"/>
          <w:sz w:val="48"/>
          <w:szCs w:val="48"/>
        </w:rPr>
        <w:t xml:space="preserve">Modelo de Proposta de Consultoria</w:t>
      </w:r>
    </w:p>
    <w:tbl>
      <w:tblPr>
        <w:tblW w:type="dxa" w:w="9200"/>
        <w:tblBorders>
          <w:top w:val="none"/>
          <w:left w:val="single" w:color="C2924C" w:sz="22"/>
          <w:bottom w:val="none"/>
          <w:right w:val="none"/>
          <w:insideH w:val="none"/>
          <w:insideV w:val="none"/>
        </w:tblBorders>
      </w:tblPr>
      <w:tblGrid>
        <w:gridCol w:w="9200"/>
      </w:tblGrid>
      <w:tr>
        <w:tc>
          <w:tcPr>
            <w:tcW w:type="dxa" w:w="9200"/>
            <w:shd w:fill="FBF1EC" w:val="clear"/>
            <w:tcMar>
              <w:top w:type="dxa" w:w="130"/>
              <w:left w:type="dxa" w:w="200"/>
              <w:bottom w:type="dxa" w:w="13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color w:val="5C1232"/>
                <w:sz w:val="20"/>
                <w:szCs w:val="20"/>
              </w:rPr>
              <w:t xml:space="preserve">Como usar: copie este arquivo para cada cliente. Os textos entre [colchetes] são campos para você preencher — substitua todos antes de enviar. Aplique a sua identidade visual (logo, cores, fontes).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color w:val="5C1232"/>
                <w:sz w:val="20"/>
                <w:szCs w:val="20"/>
              </w:rPr>
              <w:t xml:space="preserve">Regra de ouro: valor primeiro, investimento depois. Apresente a proposta em call — nunca envie “fria”.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color w:val="5C1232"/>
                <w:sz w:val="20"/>
                <w:szCs w:val="20"/>
              </w:rPr>
              <w:t xml:space="preserve">Antes de fechar o valor da seção 7, valide o número na Calculadora de Precificação.</w:t>
            </w:r>
          </w:p>
        </w:tc>
      </w:tr>
    </w:tbl>
    <w:p>
      <w:r>
        <w:br w:type="page"/>
      </w:r>
    </w:p>
    <w:p>
      <w:pPr>
        <w:spacing w:after="60" w:before="440"/>
      </w:pPr>
      <w:r>
        <w:rPr>
          <w:rFonts w:ascii="Cambria" w:cs="Cambria" w:eastAsia="Cambria" w:hAnsi="Cambria"/>
          <w:b/>
          <w:bCs/>
          <w:color w:val="C2924C"/>
          <w:sz w:val="40"/>
          <w:szCs w:val="40"/>
        </w:rPr>
        <w:t xml:space="preserve">1  </w:t>
      </w:r>
      <w:r>
        <w:rPr>
          <w:rFonts w:ascii="Cambria" w:cs="Cambria" w:eastAsia="Cambria" w:hAnsi="Cambria"/>
          <w:b/>
          <w:bCs/>
          <w:color w:val="5C1232"/>
          <w:sz w:val="31"/>
          <w:szCs w:val="31"/>
        </w:rPr>
        <w:t xml:space="preserve">Capa</w:t>
      </w:r>
    </w:p>
    <w:p>
      <w:pPr>
        <w:pBdr>
          <w:bottom w:val="single" w:color="E4CDBF" w:sz="6"/>
        </w:pBdr>
        <w:spacing w:after="160"/>
      </w:pPr>
    </w:p>
    <w:p>
      <w:pPr>
        <w:spacing w:after="300"/>
      </w:pPr>
    </w:p>
    <w:p>
      <w:pPr>
        <w:spacing w:after="80"/>
        <w:jc w:val="center"/>
      </w:pPr>
      <w:r>
        <w:rPr>
          <w:rFonts w:ascii="Calibri" w:cs="Calibri" w:eastAsia="Calibri" w:hAnsi="Calibri"/>
          <w:b/>
          <w:bCs/>
          <w:color w:val="9A6D2E"/>
          <w:spacing w:val="40"/>
          <w:sz w:val="19"/>
          <w:szCs w:val="19"/>
        </w:rPr>
        <w:t xml:space="preserve">PROPOSTA DE CONSULTORIA TRIBUTÁRIA</w:t>
      </w:r>
    </w:p>
    <w:p>
      <w:pPr>
        <w:spacing w:after="100"/>
        <w:jc w:val="center"/>
      </w:pPr>
      <w:r>
        <w:rPr>
          <w:rFonts w:ascii="Cambria" w:cs="Cambria" w:eastAsia="Cambria" w:hAnsi="Cambria"/>
          <w:b/>
          <w:bCs/>
          <w:color w:val="3A0823"/>
          <w:sz w:val="44"/>
          <w:szCs w:val="44"/>
        </w:rPr>
        <w:t xml:space="preserve">[Nome da sua consultoria]</w:t>
      </w:r>
    </w:p>
    <w:p>
      <w:pPr>
        <w:spacing w:after="320"/>
        <w:jc w:val="center"/>
      </w:pPr>
      <w:r>
        <w:rPr>
          <w:rFonts w:ascii="Cambria" w:cs="Cambria" w:eastAsia="Cambria" w:hAnsi="Cambria"/>
          <w:i/>
          <w:iCs/>
          <w:color w:val="9A6D2E"/>
          <w:sz w:val="23"/>
          <w:szCs w:val="23"/>
        </w:rPr>
        <w:t xml:space="preserve">[Subtítulo opcional: a transformação em uma linha — ex.: “Clareza e economia tributária para decisões seguras”]</w:t>
      </w:r>
    </w:p>
    <w:p>
      <w:pPr>
        <w:spacing w:after="60"/>
        <w:jc w:val="center"/>
      </w:pPr>
      <w:r>
        <w:rPr>
          <w:rFonts w:ascii="Calibri" w:cs="Calibri" w:eastAsia="Calibri" w:hAnsi="Calibri"/>
          <w:color w:val="73525F"/>
          <w:sz w:val="22"/>
          <w:szCs w:val="22"/>
        </w:rPr>
        <w:t xml:space="preserve">Preparada para: </w:t>
      </w: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[Nome do cliente ou empresa]</w:t>
      </w:r>
    </w:p>
    <w:p>
      <w:pPr>
        <w:spacing w:after="60"/>
        <w:jc w:val="center"/>
      </w:pPr>
      <w:r>
        <w:rPr>
          <w:rFonts w:ascii="Calibri" w:cs="Calibri" w:eastAsia="Calibri" w:hAnsi="Calibri"/>
          <w:color w:val="73525F"/>
          <w:sz w:val="22"/>
          <w:szCs w:val="22"/>
        </w:rPr>
        <w:t xml:space="preserve">Elaborada por: </w:t>
      </w: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[Seu nome · CRC nº 000000]</w:t>
      </w:r>
    </w:p>
    <w:p>
      <w:pPr>
        <w:spacing w:after="60"/>
        <w:jc w:val="center"/>
      </w:pPr>
      <w:r>
        <w:rPr>
          <w:rFonts w:ascii="Calibri" w:cs="Calibri" w:eastAsia="Calibri" w:hAnsi="Calibri"/>
          <w:color w:val="73525F"/>
          <w:sz w:val="22"/>
          <w:szCs w:val="22"/>
        </w:rPr>
        <w:t xml:space="preserve">Data: </w:t>
      </w: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[data]</w:t>
      </w:r>
    </w:p>
    <w:p>
      <w:pPr>
        <w:spacing w:after="200"/>
        <w:jc w:val="center"/>
      </w:pPr>
      <w:r>
        <w:rPr>
          <w:rFonts w:ascii="Calibri" w:cs="Calibri" w:eastAsia="Calibri" w:hAnsi="Calibri"/>
          <w:color w:val="73525F"/>
          <w:sz w:val="22"/>
          <w:szCs w:val="22"/>
        </w:rPr>
        <w:t xml:space="preserve">Validade desta proposta: </w:t>
      </w: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[ex.: 7 dias]</w:t>
      </w:r>
    </w:p>
    <w:p>
      <w:pPr>
        <w:spacing w:after="140" w:before="40"/>
      </w:pPr>
      <w:r>
        <w:rPr>
          <w:rFonts w:ascii="Calibri" w:cs="Calibri" w:eastAsia="Calibri" w:hAnsi="Calibri"/>
          <w:i/>
          <w:iCs/>
          <w:color w:val="73525F"/>
          <w:sz w:val="19"/>
          <w:szCs w:val="19"/>
        </w:rPr>
        <w:t xml:space="preserve">✎ Dica: validade curta cria o momento da decisão e é o seu motivo legítimo de follow-up.</w:t>
      </w:r>
    </w:p>
    <w:p>
      <w:r>
        <w:br w:type="page"/>
      </w:r>
    </w:p>
    <w:p>
      <w:pPr>
        <w:spacing w:after="60" w:before="440"/>
      </w:pPr>
      <w:r>
        <w:rPr>
          <w:rFonts w:ascii="Cambria" w:cs="Cambria" w:eastAsia="Cambria" w:hAnsi="Cambria"/>
          <w:b/>
          <w:bCs/>
          <w:color w:val="C2924C"/>
          <w:sz w:val="40"/>
          <w:szCs w:val="40"/>
        </w:rPr>
        <w:t xml:space="preserve">2  </w:t>
      </w:r>
      <w:r>
        <w:rPr>
          <w:rFonts w:ascii="Cambria" w:cs="Cambria" w:eastAsia="Cambria" w:hAnsi="Cambria"/>
          <w:b/>
          <w:bCs/>
          <w:color w:val="5C1232"/>
          <w:sz w:val="31"/>
          <w:szCs w:val="31"/>
        </w:rPr>
        <w:t xml:space="preserve">Contexto do cliente</w:t>
      </w:r>
    </w:p>
    <w:p>
      <w:pPr>
        <w:pBdr>
          <w:bottom w:val="single" w:color="E4CDBF" w:sz="6"/>
        </w:pBdr>
        <w:spacing w:after="160"/>
      </w:pPr>
    </w:p>
    <w:p>
      <w:pPr>
        <w:spacing w:after="140" w:before="40"/>
      </w:pPr>
      <w:r>
        <w:rPr>
          <w:rFonts w:ascii="Calibri" w:cs="Calibri" w:eastAsia="Calibri" w:hAnsi="Calibri"/>
          <w:i/>
          <w:iCs/>
          <w:color w:val="73525F"/>
          <w:sz w:val="19"/>
          <w:szCs w:val="19"/>
        </w:rPr>
        <w:t xml:space="preserve">✎ Descreva em poucas linhas o cenário atual e o desafio que o cliente vive hoje. Este parágrafo prova que a proposta foi feita sob medida — não é um modelo genérico. Use as palavras que o próprio cliente usou na conversa.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[Descreva aqui o cenário do cliente.]</w:t>
      </w:r>
    </w:p>
    <w:tbl>
      <w:tblPr>
        <w:tblW w:type="dxa" w:w="9200"/>
        <w:tblBorders>
          <w:top w:val="none"/>
          <w:left w:val="single" w:color="C2924C" w:sz="22"/>
          <w:bottom w:val="none"/>
          <w:right w:val="none"/>
          <w:insideH w:val="none"/>
          <w:insideV w:val="none"/>
        </w:tblBorders>
      </w:tblPr>
      <w:tblGrid>
        <w:gridCol w:w="9200"/>
      </w:tblGrid>
      <w:tr>
        <w:tc>
          <w:tcPr>
            <w:tcW w:type="dxa" w:w="9200"/>
            <w:shd w:fill="FBF1EC" w:val="clear"/>
            <w:tcMar>
              <w:top w:type="dxa" w:w="130"/>
              <w:left w:type="dxa" w:w="200"/>
              <w:bottom w:type="dxa" w:w="13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color w:val="5C1232"/>
                <w:sz w:val="20"/>
                <w:szCs w:val="20"/>
              </w:rPr>
              <w:t xml:space="preserve">Exemplo: Hoje a [empresa] cresce em faturamento, mas convive com dúvidas sobre o regime tributário atual e sem visibilidade do impacto da Reforma Tributária nos próximos anos — o que gera insegurança nas decisões de preço e de contratação.</w:t>
            </w:r>
          </w:p>
        </w:tc>
      </w:tr>
    </w:tbl>
    <w:p>
      <w:pPr>
        <w:spacing w:after="120"/>
      </w:pPr>
    </w:p>
    <w:p>
      <w:pPr>
        <w:spacing w:after="60" w:before="440"/>
      </w:pPr>
      <w:r>
        <w:rPr>
          <w:rFonts w:ascii="Cambria" w:cs="Cambria" w:eastAsia="Cambria" w:hAnsi="Cambria"/>
          <w:b/>
          <w:bCs/>
          <w:color w:val="C2924C"/>
          <w:sz w:val="40"/>
          <w:szCs w:val="40"/>
        </w:rPr>
        <w:t xml:space="preserve">3  </w:t>
      </w:r>
      <w:r>
        <w:rPr>
          <w:rFonts w:ascii="Cambria" w:cs="Cambria" w:eastAsia="Cambria" w:hAnsi="Cambria"/>
          <w:b/>
          <w:bCs/>
          <w:color w:val="5C1232"/>
          <w:sz w:val="31"/>
          <w:szCs w:val="31"/>
        </w:rPr>
        <w:t xml:space="preserve">Objetivo da consultoria</w:t>
      </w:r>
    </w:p>
    <w:p>
      <w:pPr>
        <w:pBdr>
          <w:bottom w:val="single" w:color="E4CDBF" w:sz="6"/>
        </w:pBdr>
        <w:spacing w:after="160"/>
      </w:pPr>
    </w:p>
    <w:p>
      <w:pPr>
        <w:spacing w:after="140" w:before="40"/>
      </w:pPr>
      <w:r>
        <w:rPr>
          <w:rFonts w:ascii="Calibri" w:cs="Calibri" w:eastAsia="Calibri" w:hAnsi="Calibri"/>
          <w:i/>
          <w:iCs/>
          <w:color w:val="73525F"/>
          <w:sz w:val="19"/>
          <w:szCs w:val="19"/>
        </w:rPr>
        <w:t xml:space="preserve">✎ Uma frase clara sobre a transformação que o cliente terá ao final do trabalho.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[Escreva aqui o objetivo em uma frase.]</w:t>
      </w:r>
    </w:p>
    <w:tbl>
      <w:tblPr>
        <w:tblW w:type="dxa" w:w="9200"/>
        <w:tblBorders>
          <w:top w:val="none"/>
          <w:left w:val="single" w:color="C2924C" w:sz="22"/>
          <w:bottom w:val="none"/>
          <w:right w:val="none"/>
          <w:insideH w:val="none"/>
          <w:insideV w:val="none"/>
        </w:tblBorders>
      </w:tblPr>
      <w:tblGrid>
        <w:gridCol w:w="9200"/>
      </w:tblGrid>
      <w:tr>
        <w:tc>
          <w:tcPr>
            <w:tcW w:type="dxa" w:w="9200"/>
            <w:shd w:fill="FBF1EC" w:val="clear"/>
            <w:tcMar>
              <w:top w:type="dxa" w:w="130"/>
              <w:left w:type="dxa" w:w="200"/>
              <w:bottom w:type="dxa" w:w="13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color w:val="5C1232"/>
                <w:sz w:val="20"/>
                <w:szCs w:val="20"/>
              </w:rPr>
              <w:t xml:space="preserve">Exemplo: Identificar o regime tributário mais vantajoso e estruturar um planejamento que gere segurança e economia fiscal para os próximos [12] meses, com plano de ação claro.</w:t>
            </w:r>
          </w:p>
        </w:tc>
      </w:tr>
    </w:tbl>
    <w:p>
      <w:pPr>
        <w:spacing w:after="120"/>
      </w:pPr>
    </w:p>
    <w:p>
      <w:pPr>
        <w:spacing w:after="60" w:before="440"/>
      </w:pPr>
      <w:r>
        <w:rPr>
          <w:rFonts w:ascii="Cambria" w:cs="Cambria" w:eastAsia="Cambria" w:hAnsi="Cambria"/>
          <w:b/>
          <w:bCs/>
          <w:color w:val="C2924C"/>
          <w:sz w:val="40"/>
          <w:szCs w:val="40"/>
        </w:rPr>
        <w:t xml:space="preserve">4  </w:t>
      </w:r>
      <w:r>
        <w:rPr>
          <w:rFonts w:ascii="Cambria" w:cs="Cambria" w:eastAsia="Cambria" w:hAnsi="Cambria"/>
          <w:b/>
          <w:bCs/>
          <w:color w:val="5C1232"/>
          <w:sz w:val="31"/>
          <w:szCs w:val="31"/>
        </w:rPr>
        <w:t xml:space="preserve">Escopo e entregáveis</w:t>
      </w:r>
    </w:p>
    <w:p>
      <w:pPr>
        <w:pBdr>
          <w:bottom w:val="single" w:color="E4CDBF" w:sz="6"/>
        </w:pBdr>
        <w:spacing w:after="160"/>
      </w:pPr>
    </w:p>
    <w:p>
      <w:pPr>
        <w:spacing w:after="100"/>
      </w:pPr>
      <w:r>
        <w:rPr>
          <w:rFonts w:ascii="Calibri" w:cs="Calibri" w:eastAsia="Calibri" w:hAnsi="Calibri"/>
          <w:b/>
          <w:bCs/>
          <w:color w:val="5C1232"/>
          <w:sz w:val="22"/>
          <w:szCs w:val="22"/>
        </w:rPr>
        <w:t xml:space="preserve">O que está incluso neste trabalho: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[Entregável 1 — ex.: Diagnóstico tributário completo do cenário atual]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[Entregável 2 — ex.: Análise comparativa de enquadramento: Simples × Lucro Presumido × Lucro Real]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[Entregável 3 — ex.: Relatório de planejamento com cenários, números e base legal]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[Entregável 4 — ex.: Plano de ação priorizado + [2] encontros de acompanhamento]</w:t>
      </w:r>
    </w:p>
    <w:p>
      <w:pPr>
        <w:spacing w:after="60"/>
      </w:pPr>
    </w:p>
    <w:tbl>
      <w:tblPr>
        <w:tblW w:type="dxa" w:w="9200"/>
        <w:tblBorders>
          <w:top w:val="none"/>
          <w:left w:val="single" w:color="C2924C" w:sz="22"/>
          <w:bottom w:val="none"/>
          <w:right w:val="none"/>
          <w:insideH w:val="none"/>
          <w:insideV w:val="none"/>
        </w:tblBorders>
      </w:tblPr>
      <w:tblGrid>
        <w:gridCol w:w="9200"/>
      </w:tblGrid>
      <w:tr>
        <w:tc>
          <w:tcPr>
            <w:tcW w:type="dxa" w:w="9200"/>
            <w:shd w:fill="FBF1EC" w:val="clear"/>
            <w:tcMar>
              <w:top w:type="dxa" w:w="130"/>
              <w:left w:type="dxa" w:w="200"/>
              <w:bottom w:type="dxa" w:w="13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color w:val="5C1232"/>
                <w:sz w:val="20"/>
                <w:szCs w:val="20"/>
              </w:rPr>
              <w:t xml:space="preserve">O que NÃO está incluso: [deixe explícito — ex.: execução das obrigações acessórias mensais, contabilidade recorrente, defesa em fiscalizações e autuações, atendimentos fora dos encontros previstos]. Serviços adicionais podem ser contratados em proposta específica.</w:t>
            </w:r>
          </w:p>
        </w:tc>
      </w:tr>
    </w:tbl>
    <w:p>
      <w:pPr>
        <w:spacing w:after="140" w:before="40"/>
      </w:pPr>
      <w:r>
        <w:rPr>
          <w:rFonts w:ascii="Calibri" w:cs="Calibri" w:eastAsia="Calibri" w:hAnsi="Calibri"/>
          <w:i/>
          <w:iCs/>
          <w:color w:val="73525F"/>
          <w:sz w:val="19"/>
          <w:szCs w:val="19"/>
        </w:rPr>
        <w:t xml:space="preserve">✎ O “não incluso” evita expectativas erradas e protege a relação durante toda a entrega.</w:t>
      </w:r>
    </w:p>
    <w:p>
      <w:pPr>
        <w:spacing w:after="60" w:before="440"/>
      </w:pPr>
      <w:r>
        <w:rPr>
          <w:rFonts w:ascii="Cambria" w:cs="Cambria" w:eastAsia="Cambria" w:hAnsi="Cambria"/>
          <w:b/>
          <w:bCs/>
          <w:color w:val="C2924C"/>
          <w:sz w:val="40"/>
          <w:szCs w:val="40"/>
        </w:rPr>
        <w:t xml:space="preserve">5  </w:t>
      </w:r>
      <w:r>
        <w:rPr>
          <w:rFonts w:ascii="Cambria" w:cs="Cambria" w:eastAsia="Cambria" w:hAnsi="Cambria"/>
          <w:b/>
          <w:bCs/>
          <w:color w:val="5C1232"/>
          <w:sz w:val="31"/>
          <w:szCs w:val="31"/>
        </w:rPr>
        <w:t xml:space="preserve">Como o trabalho acontece</w:t>
      </w:r>
    </w:p>
    <w:p>
      <w:pPr>
        <w:pBdr>
          <w:bottom w:val="single" w:color="E4CDBF" w:sz="6"/>
        </w:pBdr>
        <w:spacing w:after="160"/>
      </w:pPr>
    </w:p>
    <w:p>
      <w:pPr>
        <w:spacing w:after="140" w:before="40"/>
      </w:pPr>
      <w:r>
        <w:rPr>
          <w:rFonts w:ascii="Calibri" w:cs="Calibri" w:eastAsia="Calibri" w:hAnsi="Calibri"/>
          <w:i/>
          <w:iCs/>
          <w:color w:val="73525F"/>
          <w:sz w:val="19"/>
          <w:szCs w:val="19"/>
        </w:rPr>
        <w:t xml:space="preserve">✎ Apresente as fases do seu método, para o cliente enxergar o caminho.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5C1232"/>
          <w:sz w:val="22"/>
          <w:szCs w:val="22"/>
        </w:rPr>
        <w:t xml:space="preserve">1. Alinhamento inicial: </w:t>
      </w:r>
      <w:r>
        <w:rPr>
          <w:rFonts w:ascii="Calibri" w:cs="Calibri" w:eastAsia="Calibri" w:hAnsi="Calibri"/>
          <w:color w:val="33101F"/>
          <w:sz w:val="22"/>
          <w:szCs w:val="22"/>
        </w:rPr>
        <w:t xml:space="preserve">definição de expectativas, acessos e regras de trabalho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5C1232"/>
          <w:sz w:val="22"/>
          <w:szCs w:val="22"/>
        </w:rPr>
        <w:t xml:space="preserve">2. Diagnóstico: </w:t>
      </w:r>
      <w:r>
        <w:rPr>
          <w:rFonts w:ascii="Calibri" w:cs="Calibri" w:eastAsia="Calibri" w:hAnsi="Calibri"/>
          <w:color w:val="33101F"/>
          <w:sz w:val="22"/>
          <w:szCs w:val="22"/>
        </w:rPr>
        <w:t xml:space="preserve">coleta de dados, análise do cenário fiscal e identificação dos pontos críticos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5C1232"/>
          <w:sz w:val="22"/>
          <w:szCs w:val="22"/>
        </w:rPr>
        <w:t xml:space="preserve">3. Devolutiva: </w:t>
      </w:r>
      <w:r>
        <w:rPr>
          <w:rFonts w:ascii="Calibri" w:cs="Calibri" w:eastAsia="Calibri" w:hAnsi="Calibri"/>
          <w:color w:val="33101F"/>
          <w:sz w:val="22"/>
          <w:szCs w:val="22"/>
        </w:rPr>
        <w:t xml:space="preserve">apresentação do diagnóstico, dos cenários comparativos e do cronograma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5C1232"/>
          <w:sz w:val="22"/>
          <w:szCs w:val="22"/>
        </w:rPr>
        <w:t xml:space="preserve">4. Execução por etapas: </w:t>
      </w:r>
      <w:r>
        <w:rPr>
          <w:rFonts w:ascii="Calibri" w:cs="Calibri" w:eastAsia="Calibri" w:hAnsi="Calibri"/>
          <w:color w:val="33101F"/>
          <w:sz w:val="22"/>
          <w:szCs w:val="22"/>
        </w:rPr>
        <w:t xml:space="preserve">encontros de trabalho seguindo o plano aprovado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b/>
          <w:bCs/>
          <w:color w:val="5C1232"/>
          <w:sz w:val="22"/>
          <w:szCs w:val="22"/>
        </w:rPr>
        <w:t xml:space="preserve">5. Encerramento: </w:t>
      </w:r>
      <w:r>
        <w:rPr>
          <w:rFonts w:ascii="Calibri" w:cs="Calibri" w:eastAsia="Calibri" w:hAnsi="Calibri"/>
          <w:color w:val="33101F"/>
          <w:sz w:val="22"/>
          <w:szCs w:val="22"/>
        </w:rPr>
        <w:t xml:space="preserve">relatório final, resultados alcançados e recomendações de continuidade</w:t>
      </w:r>
    </w:p>
    <w:p>
      <w:pPr>
        <w:spacing w:after="120"/>
      </w:pPr>
    </w:p>
    <w:p>
      <w:pPr>
        <w:spacing w:after="60" w:before="440"/>
      </w:pPr>
      <w:r>
        <w:rPr>
          <w:rFonts w:ascii="Cambria" w:cs="Cambria" w:eastAsia="Cambria" w:hAnsi="Cambria"/>
          <w:b/>
          <w:bCs/>
          <w:color w:val="C2924C"/>
          <w:sz w:val="40"/>
          <w:szCs w:val="40"/>
        </w:rPr>
        <w:t xml:space="preserve">6  </w:t>
      </w:r>
      <w:r>
        <w:rPr>
          <w:rFonts w:ascii="Cambria" w:cs="Cambria" w:eastAsia="Cambria" w:hAnsi="Cambria"/>
          <w:b/>
          <w:bCs/>
          <w:color w:val="5C1232"/>
          <w:sz w:val="31"/>
          <w:szCs w:val="31"/>
        </w:rPr>
        <w:t xml:space="preserve">Cronograma</w:t>
      </w:r>
    </w:p>
    <w:p>
      <w:pPr>
        <w:pBdr>
          <w:bottom w:val="single" w:color="E4CDBF" w:sz="6"/>
        </w:pBdr>
        <w:spacing w:after="160"/>
      </w:pP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4800"/>
        <w:gridCol w:w="2000"/>
      </w:tblGrid>
      <w:tr>
        <w:tc>
          <w:tcPr>
            <w:tcW w:type="dxa" w:w="2400"/>
            <w:shd w:fill="5C123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Fase</w:t>
            </w:r>
          </w:p>
        </w:tc>
        <w:tc>
          <w:tcPr>
            <w:tcW w:type="dxa" w:w="4800"/>
            <w:shd w:fill="5C123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 que acontece</w:t>
            </w:r>
          </w:p>
        </w:tc>
        <w:tc>
          <w:tcPr>
            <w:tcW w:type="dxa" w:w="2000"/>
            <w:shd w:fill="5C123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Duração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101F"/>
                <w:sz w:val="20"/>
                <w:szCs w:val="20"/>
              </w:rPr>
              <w:t xml:space="preserve">Alinhamento inicial</w:t>
            </w:r>
          </w:p>
        </w:tc>
        <w:tc>
          <w:tcPr>
            <w:tcW w:type="dxa" w:w="4800"/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101F"/>
                <w:sz w:val="20"/>
                <w:szCs w:val="20"/>
              </w:rPr>
              <w:t xml:space="preserve">Reunião de boas-vindas, expectativas e regras de trabalho</w:t>
            </w:r>
          </w:p>
        </w:tc>
        <w:tc>
          <w:tcPr>
            <w:tcW w:type="dxa" w:w="2000"/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9A6D2E"/>
                <w:sz w:val="20"/>
                <w:szCs w:val="20"/>
              </w:rPr>
              <w:t xml:space="preserve">[ex.: semana 1]</w:t>
            </w:r>
          </w:p>
        </w:tc>
      </w:tr>
      <w:tr>
        <w:tc>
          <w:tcPr>
            <w:tcW w:type="dxa" w:w="2400"/>
            <w:shd w:fill="FBF1EC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101F"/>
                <w:sz w:val="20"/>
                <w:szCs w:val="20"/>
              </w:rPr>
              <w:t xml:space="preserve">Diagnóstico tributário</w:t>
            </w:r>
          </w:p>
        </w:tc>
        <w:tc>
          <w:tcPr>
            <w:tcW w:type="dxa" w:w="4800"/>
            <w:shd w:fill="FBF1EC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101F"/>
                <w:sz w:val="20"/>
                <w:szCs w:val="20"/>
              </w:rPr>
              <w:t xml:space="preserve">Coleta de dados, análise do cenário e simulações</w:t>
            </w:r>
          </w:p>
        </w:tc>
        <w:tc>
          <w:tcPr>
            <w:tcW w:type="dxa" w:w="2000"/>
            <w:shd w:fill="FBF1EC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9A6D2E"/>
                <w:sz w:val="20"/>
                <w:szCs w:val="20"/>
              </w:rPr>
              <w:t xml:space="preserve">[ex.: semanas 2 e 3]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101F"/>
                <w:sz w:val="20"/>
                <w:szCs w:val="20"/>
              </w:rPr>
              <w:t xml:space="preserve">Devolutiva</w:t>
            </w:r>
          </w:p>
        </w:tc>
        <w:tc>
          <w:tcPr>
            <w:tcW w:type="dxa" w:w="4800"/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101F"/>
                <w:sz w:val="20"/>
                <w:szCs w:val="20"/>
              </w:rPr>
              <w:t xml:space="preserve">Apresentação do diagnóstico, cenários e plano de ação</w:t>
            </w:r>
          </w:p>
        </w:tc>
        <w:tc>
          <w:tcPr>
            <w:tcW w:type="dxa" w:w="2000"/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9A6D2E"/>
                <w:sz w:val="20"/>
                <w:szCs w:val="20"/>
              </w:rPr>
              <w:t xml:space="preserve">[ex.: semana 4]</w:t>
            </w:r>
          </w:p>
        </w:tc>
      </w:tr>
      <w:tr>
        <w:tc>
          <w:tcPr>
            <w:tcW w:type="dxa" w:w="2400"/>
            <w:shd w:fill="FBF1EC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101F"/>
                <w:sz w:val="20"/>
                <w:szCs w:val="20"/>
              </w:rPr>
              <w:t xml:space="preserve">Execução por etapas</w:t>
            </w:r>
          </w:p>
        </w:tc>
        <w:tc>
          <w:tcPr>
            <w:tcW w:type="dxa" w:w="4800"/>
            <w:shd w:fill="FBF1EC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101F"/>
                <w:sz w:val="20"/>
                <w:szCs w:val="20"/>
              </w:rPr>
              <w:t xml:space="preserve">Encontros de trabalho conforme o cronograma aprovado</w:t>
            </w:r>
          </w:p>
        </w:tc>
        <w:tc>
          <w:tcPr>
            <w:tcW w:type="dxa" w:w="2000"/>
            <w:shd w:fill="FBF1EC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9A6D2E"/>
                <w:sz w:val="20"/>
                <w:szCs w:val="20"/>
              </w:rPr>
              <w:t xml:space="preserve">[ex.: semanas 5 a 8]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33101F"/>
                <w:sz w:val="20"/>
                <w:szCs w:val="20"/>
              </w:rPr>
              <w:t xml:space="preserve">Encerramento</w:t>
            </w:r>
          </w:p>
        </w:tc>
        <w:tc>
          <w:tcPr>
            <w:tcW w:type="dxa" w:w="4800"/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33101F"/>
                <w:sz w:val="20"/>
                <w:szCs w:val="20"/>
              </w:rPr>
              <w:t xml:space="preserve">Relatório final, resultados e próximos passos</w:t>
            </w:r>
          </w:p>
        </w:tc>
        <w:tc>
          <w:tcPr>
            <w:tcW w:type="dxa" w:w="2000"/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9A6D2E"/>
                <w:sz w:val="20"/>
                <w:szCs w:val="20"/>
              </w:rPr>
              <w:t xml:space="preserve">[ex.: semana 9]</w:t>
            </w:r>
          </w:p>
        </w:tc>
      </w:tr>
    </w:tbl>
    <w:p>
      <w:pPr>
        <w:spacing w:after="120"/>
      </w:pPr>
    </w:p>
    <w:p>
      <w:pPr>
        <w:spacing w:after="60" w:before="440"/>
      </w:pPr>
      <w:r>
        <w:rPr>
          <w:rFonts w:ascii="Cambria" w:cs="Cambria" w:eastAsia="Cambria" w:hAnsi="Cambria"/>
          <w:b/>
          <w:bCs/>
          <w:color w:val="C2924C"/>
          <w:sz w:val="40"/>
          <w:szCs w:val="40"/>
        </w:rPr>
        <w:t xml:space="preserve">7  </w:t>
      </w:r>
      <w:r>
        <w:rPr>
          <w:rFonts w:ascii="Cambria" w:cs="Cambria" w:eastAsia="Cambria" w:hAnsi="Cambria"/>
          <w:b/>
          <w:bCs/>
          <w:color w:val="5C1232"/>
          <w:sz w:val="31"/>
          <w:szCs w:val="31"/>
        </w:rPr>
        <w:t xml:space="preserve">Investimento</w:t>
      </w:r>
    </w:p>
    <w:p>
      <w:pPr>
        <w:pBdr>
          <w:bottom w:val="single" w:color="E4CDBF" w:sz="6"/>
        </w:pBdr>
        <w:spacing w:after="160"/>
      </w:pPr>
    </w:p>
    <w:p>
      <w:pPr>
        <w:spacing w:after="140" w:before="40"/>
      </w:pPr>
      <w:r>
        <w:rPr>
          <w:rFonts w:ascii="Calibri" w:cs="Calibri" w:eastAsia="Calibri" w:hAnsi="Calibri"/>
          <w:i/>
          <w:iCs/>
          <w:color w:val="73525F"/>
          <w:sz w:val="19"/>
          <w:szCs w:val="19"/>
        </w:rPr>
        <w:t xml:space="preserve">✎ Apresente o valor com segurança, sem pedir desculpas pelo preço. Antes, valide na Calculadora de Precificação.</w:t>
      </w:r>
    </w:p>
    <w:p>
      <w:pPr>
        <w:spacing w:after="120"/>
      </w:pPr>
      <w:r>
        <w:rPr>
          <w:rFonts w:ascii="Calibri" w:cs="Calibri" w:eastAsia="Calibri" w:hAnsi="Calibri"/>
          <w:b/>
          <w:bCs/>
          <w:color w:val="5C1232"/>
          <w:sz w:val="22"/>
          <w:szCs w:val="22"/>
        </w:rPr>
        <w:t xml:space="preserve">Valor do projeto: </w:t>
      </w: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R$ [valor definido na Calculadora de Precificação]</w:t>
      </w:r>
    </w:p>
    <w:p>
      <w:pPr>
        <w:spacing w:after="100"/>
      </w:pPr>
      <w:r>
        <w:rPr>
          <w:rFonts w:ascii="Calibri" w:cs="Calibri" w:eastAsia="Calibri" w:hAnsi="Calibri"/>
          <w:b/>
          <w:bCs/>
          <w:color w:val="5C1232"/>
          <w:sz w:val="22"/>
          <w:szCs w:val="22"/>
        </w:rPr>
        <w:t xml:space="preserve">Condições de pagamento: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101F"/>
          <w:sz w:val="22"/>
          <w:szCs w:val="22"/>
        </w:rPr>
        <w:t xml:space="preserve">À vista: </w:t>
      </w: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[condição — ex.: 5% de desconto]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101F"/>
          <w:sz w:val="22"/>
          <w:szCs w:val="22"/>
        </w:rPr>
        <w:t xml:space="preserve">Parcelado: </w:t>
      </w: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[condição — ex.: entrada de 40% + 2 parcelas mensais]</w:t>
      </w:r>
    </w:p>
    <w:p>
      <w:pPr>
        <w:spacing w:after="60"/>
      </w:pPr>
    </w:p>
    <w:tbl>
      <w:tblPr>
        <w:tblW w:type="dxa" w:w="9200"/>
        <w:tblBorders>
          <w:top w:val="none"/>
          <w:left w:val="single" w:color="C2924C" w:sz="22"/>
          <w:bottom w:val="none"/>
          <w:right w:val="none"/>
          <w:insideH w:val="none"/>
          <w:insideV w:val="none"/>
        </w:tblBorders>
      </w:tblPr>
      <w:tblGrid>
        <w:gridCol w:w="9200"/>
      </w:tblGrid>
      <w:tr>
        <w:tc>
          <w:tcPr>
            <w:tcW w:type="dxa" w:w="9200"/>
            <w:shd w:fill="FBF1EC" w:val="clear"/>
            <w:tcMar>
              <w:top w:type="dxa" w:w="130"/>
              <w:left w:type="dxa" w:w="200"/>
              <w:bottom w:type="dxa" w:w="13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color w:val="5C1232"/>
                <w:sz w:val="20"/>
                <w:szCs w:val="20"/>
              </w:rPr>
              <w:t xml:space="preserve">Sugestão de fechamento da seção: “O investimento contempla todos os entregáveis e encontros descritos na seção 4. Valores válidos durante o prazo desta proposta.”</w:t>
            </w:r>
          </w:p>
        </w:tc>
      </w:tr>
    </w:tbl>
    <w:p>
      <w:pPr>
        <w:spacing w:after="60" w:before="440"/>
      </w:pPr>
      <w:r>
        <w:rPr>
          <w:rFonts w:ascii="Cambria" w:cs="Cambria" w:eastAsia="Cambria" w:hAnsi="Cambria"/>
          <w:b/>
          <w:bCs/>
          <w:color w:val="C2924C"/>
          <w:sz w:val="40"/>
          <w:szCs w:val="40"/>
        </w:rPr>
        <w:t xml:space="preserve">8  </w:t>
      </w:r>
      <w:r>
        <w:rPr>
          <w:rFonts w:ascii="Cambria" w:cs="Cambria" w:eastAsia="Cambria" w:hAnsi="Cambria"/>
          <w:b/>
          <w:bCs/>
          <w:color w:val="5C1232"/>
          <w:sz w:val="31"/>
          <w:szCs w:val="31"/>
        </w:rPr>
        <w:t xml:space="preserve">Próximos passos</w:t>
      </w:r>
    </w:p>
    <w:p>
      <w:pPr>
        <w:pBdr>
          <w:bottom w:val="single" w:color="E4CDBF" w:sz="6"/>
        </w:pBdr>
        <w:spacing w:after="160"/>
      </w:pPr>
    </w:p>
    <w:p>
      <w:pPr>
        <w:spacing w:after="140" w:before="40"/>
      </w:pPr>
      <w:r>
        <w:rPr>
          <w:rFonts w:ascii="Calibri" w:cs="Calibri" w:eastAsia="Calibri" w:hAnsi="Calibri"/>
          <w:i/>
          <w:iCs/>
          <w:color w:val="73525F"/>
          <w:sz w:val="19"/>
          <w:szCs w:val="19"/>
        </w:rPr>
        <w:t xml:space="preserve">✎ Deixe claro o que o cliente precisa fazer para começar.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101F"/>
          <w:sz w:val="22"/>
          <w:szCs w:val="22"/>
        </w:rPr>
        <w:t xml:space="preserve">Confirmação desta proposta até </w:t>
      </w:r>
      <w:r>
        <w:rPr>
          <w:rFonts w:ascii="Calibri" w:cs="Calibri" w:eastAsia="Calibri" w:hAnsi="Calibri"/>
          <w:b/>
          <w:bCs/>
          <w:color w:val="9A6D2E"/>
          <w:sz w:val="22"/>
          <w:szCs w:val="22"/>
        </w:rPr>
        <w:t xml:space="preserve">[data]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101F"/>
          <w:sz w:val="22"/>
          <w:szCs w:val="22"/>
        </w:rPr>
        <w:t xml:space="preserve">Assinatura do contrato de prestação de serviços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33101F"/>
          <w:sz w:val="22"/>
          <w:szCs w:val="22"/>
        </w:rPr>
        <w:t xml:space="preserve">Agendamento da reunião de alinhamento inicial</w:t>
      </w:r>
    </w:p>
    <w:p>
      <w:pPr>
        <w:spacing w:after="60"/>
      </w:pPr>
    </w:p>
    <w:tbl>
      <w:tblPr>
        <w:tblW w:type="dxa" w:w="9200"/>
        <w:tblBorders>
          <w:top w:val="none"/>
          <w:left w:val="single" w:color="C2924C" w:sz="22"/>
          <w:bottom w:val="none"/>
          <w:right w:val="none"/>
          <w:insideH w:val="none"/>
          <w:insideV w:val="none"/>
        </w:tblBorders>
      </w:tblPr>
      <w:tblGrid>
        <w:gridCol w:w="9200"/>
      </w:tblGrid>
      <w:tr>
        <w:tc>
          <w:tcPr>
            <w:tcW w:type="dxa" w:w="9200"/>
            <w:shd w:fill="FBF1EC" w:val="clear"/>
            <w:tcMar>
              <w:top w:type="dxa" w:w="130"/>
              <w:left w:type="dxa" w:w="200"/>
              <w:bottom w:type="dxa" w:w="13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color w:val="5C1232"/>
                <w:sz w:val="20"/>
                <w:szCs w:val="20"/>
              </w:rPr>
              <w:t xml:space="preserve">“Se fizer sentido para você, o próximo passo é confirmarmos o início e agendarmos a nossa primeira reunião.”</w:t>
            </w:r>
          </w:p>
        </w:tc>
      </w:tr>
    </w:tbl>
    <w:p>
      <w:pPr>
        <w:spacing w:after="200"/>
      </w:pPr>
    </w:p>
    <w:p>
      <w:pPr>
        <w:spacing w:after="40"/>
        <w:jc w:val="center"/>
      </w:pPr>
      <w:r>
        <w:rPr>
          <w:rFonts w:ascii="Cambria" w:cs="Cambria" w:eastAsia="Cambria" w:hAnsi="Cambria"/>
          <w:b/>
          <w:bCs/>
          <w:i/>
          <w:iCs/>
          <w:color w:val="3A0823"/>
          <w:sz w:val="26"/>
          <w:szCs w:val="26"/>
        </w:rPr>
        <w:t xml:space="preserve">[Seu nome]</w:t>
      </w:r>
    </w:p>
    <w:p>
      <w:pPr>
        <w:jc w:val="center"/>
      </w:pPr>
      <w:r>
        <w:rPr>
          <w:rFonts w:ascii="Calibri" w:cs="Calibri" w:eastAsia="Calibri" w:hAnsi="Calibri"/>
          <w:color w:val="73525F"/>
          <w:sz w:val="20"/>
          <w:szCs w:val="20"/>
        </w:rPr>
        <w:t xml:space="preserve">[CRC nº] · [telefone/WhatsApp] · [e-mail] · [@instagram]</w:t>
      </w:r>
    </w:p>
    <w:sectPr>
      <w:pgSz w:w="11906" w:h="16838" w:orient="portrait"/>
      <w:pgMar w:top="1100" w:right="1250" w:bottom="1100" w:left="12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80" w:hanging="21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101F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2026-07-16T17:30:13.230Z</dcterms:created>
  <dcterms:modified xsi:type="dcterms:W3CDTF">2026-07-16T17:30:13.231Z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